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A6" w:rsidRPr="007D5B8B" w:rsidRDefault="00085BA6" w:rsidP="00085BA6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5B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Policy on </w:t>
      </w:r>
      <w:proofErr w:type="spellStart"/>
      <w:r w:rsidRPr="007D5B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Subrecipient</w:t>
      </w:r>
      <w:proofErr w:type="spellEnd"/>
      <w:r w:rsidRPr="007D5B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Monitoring</w:t>
      </w:r>
    </w:p>
    <w:p w:rsidR="00085BA6" w:rsidRPr="007C5AC4" w:rsidRDefault="00085BA6" w:rsidP="00085BA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BA6" w:rsidRPr="007C5AC4" w:rsidRDefault="00085BA6" w:rsidP="00085BA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5BA6" w:rsidRPr="007C5AC4" w:rsidRDefault="00085BA6" w:rsidP="00085BA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5BA6" w:rsidRPr="007C5AC4" w:rsidRDefault="00085BA6" w:rsidP="00085BA6">
      <w:pPr>
        <w:shd w:val="clear" w:color="auto" w:fill="E0E0E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C5A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Monitoring</w:t>
      </w: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The University of</w:t>
      </w:r>
      <w:r w:rsidRPr="00603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</w:t>
      </w:r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Alabama, as a prime recipient, is responsible for ensuring that all awarded project activity, including that of its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subrecipients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, is compliant with award terms and conditions and applicable federal regulations.</w:t>
      </w: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BA6" w:rsidRPr="007C5AC4" w:rsidRDefault="00085BA6" w:rsidP="00085BA6">
      <w:pPr>
        <w:shd w:val="clear" w:color="auto" w:fill="E0E0E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5A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Roles and Responsibilities</w:t>
      </w: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AC4">
        <w:rPr>
          <w:rFonts w:ascii="Times New Roman" w:eastAsia="Times New Roman" w:hAnsi="Times New Roman" w:cs="Times New Roman"/>
          <w:b/>
          <w:i/>
          <w:sz w:val="24"/>
          <w:szCs w:val="24"/>
        </w:rPr>
        <w:t>Principal Investigator (PI):</w:t>
      </w:r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 Before selecting a potential </w:t>
      </w:r>
      <w:proofErr w:type="spellStart"/>
      <w:r w:rsidRPr="007C5AC4">
        <w:rPr>
          <w:rFonts w:ascii="Times New Roman" w:eastAsia="Times New Roman" w:hAnsi="Times New Roman" w:cs="Times New Roman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, the Principal Investigator (PI) should be aware of the “Codes of Conduct” section Subpart C.42 of OMB Circular A-110, at the </w:t>
      </w:r>
      <w:r w:rsidRPr="00E55259">
        <w:rPr>
          <w:rFonts w:ascii="Times New Roman" w:eastAsia="Times New Roman" w:hAnsi="Times New Roman" w:cs="Times New Roman"/>
          <w:sz w:val="24"/>
          <w:szCs w:val="24"/>
        </w:rPr>
        <w:t xml:space="preserve">following link </w:t>
      </w:r>
      <w:r w:rsidRPr="00E55259">
        <w:rPr>
          <w:rFonts w:ascii="Times New Roman" w:eastAsia="Times New Roman" w:hAnsi="Times New Roman" w:cs="Times New Roman"/>
          <w:sz w:val="24"/>
          <w:szCs w:val="24"/>
          <w:u w:val="single"/>
        </w:rPr>
        <w:t>http://www.whitehouse.gov/OMB/circulars/a110.html#42</w:t>
      </w:r>
      <w:r w:rsidRPr="00E55259">
        <w:rPr>
          <w:rFonts w:ascii="Times New Roman" w:eastAsia="Times New Roman" w:hAnsi="Times New Roman" w:cs="Times New Roman"/>
          <w:sz w:val="24"/>
          <w:szCs w:val="24"/>
        </w:rPr>
        <w:t>.  It</w:t>
      </w:r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 is the PI’s responsibility to ensure that there is no conflict of interest in the sub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award to a </w:t>
      </w:r>
      <w:proofErr w:type="spellStart"/>
      <w:r w:rsidRPr="007C5AC4">
        <w:rPr>
          <w:rFonts w:ascii="Times New Roman" w:eastAsia="Times New Roman" w:hAnsi="Times New Roman" w:cs="Times New Roman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sz w:val="24"/>
          <w:szCs w:val="24"/>
        </w:rPr>
        <w:t>, as sub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awards should not be authorized to </w:t>
      </w:r>
      <w:proofErr w:type="spellStart"/>
      <w:r w:rsidRPr="007C5AC4">
        <w:rPr>
          <w:rFonts w:ascii="Times New Roman" w:eastAsia="Times New Roman" w:hAnsi="Times New Roman" w:cs="Times New Roman"/>
          <w:sz w:val="24"/>
          <w:szCs w:val="24"/>
        </w:rPr>
        <w:t>subrecipients</w:t>
      </w:r>
      <w:proofErr w:type="spellEnd"/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 where the PI has ownership, substantial equity, and where he/she will receive individual gain from such arrangement.</w:t>
      </w: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The Federal Government places </w:t>
      </w:r>
      <w:r w:rsidRPr="007C5AC4">
        <w:rPr>
          <w:rFonts w:ascii="Times New Roman" w:eastAsia="Times New Roman" w:hAnsi="Times New Roman" w:cs="Times New Roman"/>
          <w:sz w:val="24"/>
          <w:szCs w:val="24"/>
          <w:u w:val="single"/>
        </w:rPr>
        <w:t>primary responsibility</w:t>
      </w:r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 for management of federally funded projects with the </w:t>
      </w:r>
      <w:r w:rsidRPr="007C5AC4">
        <w:rPr>
          <w:rFonts w:ascii="Times New Roman" w:eastAsia="Times New Roman" w:hAnsi="Times New Roman" w:cs="Times New Roman"/>
          <w:sz w:val="24"/>
          <w:szCs w:val="24"/>
          <w:u w:val="single"/>
        </w:rPr>
        <w:t>PI</w:t>
      </w:r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.  This includes monitoring of </w:t>
      </w:r>
      <w:proofErr w:type="spellStart"/>
      <w:r w:rsidRPr="007C5AC4">
        <w:rPr>
          <w:rFonts w:ascii="Times New Roman" w:eastAsia="Times New Roman" w:hAnsi="Times New Roman" w:cs="Times New Roman"/>
          <w:sz w:val="24"/>
          <w:szCs w:val="24"/>
        </w:rPr>
        <w:t>subrecipients</w:t>
      </w:r>
      <w:proofErr w:type="spellEnd"/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, particularly the </w:t>
      </w:r>
      <w:proofErr w:type="spellStart"/>
      <w:r w:rsidRPr="007C5AC4">
        <w:rPr>
          <w:rFonts w:ascii="Times New Roman" w:eastAsia="Times New Roman" w:hAnsi="Times New Roman" w:cs="Times New Roman"/>
          <w:sz w:val="24"/>
          <w:szCs w:val="24"/>
        </w:rPr>
        <w:t>subrecipient’s</w:t>
      </w:r>
      <w:proofErr w:type="spellEnd"/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 technical and programmatic activities.  The PI is responsible for verifying the </w:t>
      </w:r>
      <w:proofErr w:type="spellStart"/>
      <w:r w:rsidRPr="007C5AC4">
        <w:rPr>
          <w:rFonts w:ascii="Times New Roman" w:eastAsia="Times New Roman" w:hAnsi="Times New Roman" w:cs="Times New Roman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 work is conducted in a timely manner and that the results delivered are in line with the proposed statement of work.  Other responsibilities include reviewing and approving </w:t>
      </w:r>
      <w:proofErr w:type="spellStart"/>
      <w:r w:rsidRPr="007C5AC4">
        <w:rPr>
          <w:rFonts w:ascii="Times New Roman" w:eastAsia="Times New Roman" w:hAnsi="Times New Roman" w:cs="Times New Roman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 invoices (reviewing expenditures to ensure </w:t>
      </w:r>
      <w:proofErr w:type="spellStart"/>
      <w:r w:rsidRPr="007C5AC4">
        <w:rPr>
          <w:rFonts w:ascii="Times New Roman" w:eastAsia="Times New Roman" w:hAnsi="Times New Roman" w:cs="Times New Roman"/>
          <w:sz w:val="24"/>
          <w:szCs w:val="24"/>
        </w:rPr>
        <w:t>allowability</w:t>
      </w:r>
      <w:proofErr w:type="spellEnd"/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5AC4">
        <w:rPr>
          <w:rFonts w:ascii="Times New Roman" w:eastAsia="Times New Roman" w:hAnsi="Times New Roman" w:cs="Times New Roman"/>
          <w:sz w:val="24"/>
          <w:szCs w:val="24"/>
        </w:rPr>
        <w:t>allocability</w:t>
      </w:r>
      <w:proofErr w:type="spellEnd"/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 and reasonableness of cost and ensuring charges are within the period of performance) and maintaining regular contact with the </w:t>
      </w:r>
      <w:proofErr w:type="spellStart"/>
      <w:r w:rsidRPr="007C5AC4">
        <w:rPr>
          <w:rFonts w:ascii="Times New Roman" w:eastAsia="Times New Roman" w:hAnsi="Times New Roman" w:cs="Times New Roman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A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The Office for Sponsored Programs (OSP):</w:t>
      </w:r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OSP is responsible for the oversight of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monitoring. These responsibilities include, reviewing whether a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vendor relationship exists; determining whether or not  the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its PIs are debarred or suspended from receiving Federal funds; including identification of federal awards in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subagreements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advising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subrecipients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requirements imposed on them; requiring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subrecipients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permit access, as necessary, to their records; monitoring activities of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subrecipients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as necessary, to ensure compliance; ensuring that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subrecipients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subject to OMB Circular A-133 are in compliance with its requirements and reviewing and following up on the results of those A-133 reports; assessing the potential risk associated with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subrecipients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taking necessary action if a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determined to be a high risk (such as, pre-award audits, monitoring during the contract, post-award audits or requiring documentation to support invoices).</w:t>
      </w: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7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Vice President for Business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Financial</w:t>
      </w:r>
      <w:r w:rsidRPr="006037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Affairs (VPB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</w:t>
      </w:r>
      <w:r w:rsidRPr="006037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A) </w:t>
      </w:r>
      <w:r w:rsidRPr="007C5A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Pr="00603746">
        <w:rPr>
          <w:rFonts w:ascii="Times New Roman" w:eastAsia="Times New Roman" w:hAnsi="Times New Roman" w:cs="Times New Roman"/>
          <w:color w:val="000000"/>
          <w:sz w:val="24"/>
          <w:szCs w:val="24"/>
        </w:rPr>
        <w:t>VPB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60374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responsible for ensuring that U</w:t>
      </w:r>
      <w:r w:rsidRPr="0060374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has received a fully executed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ubagreement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any payments are made to the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invoices are within the period of performance; charges (expenditures) add correctly on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invoices and that charges appear to be on a cost reimbursable basis and not based on allocation of budget; F&amp;A (IDC) calculates correctly, if applicable; cost share is </w:t>
      </w:r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included in the invoice, if required; invoice is certified/signed by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officials; PI has reviewed invoice and signed approval form, verifying that the </w:t>
      </w:r>
      <w:proofErr w:type="spellStart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>subrecipient</w:t>
      </w:r>
      <w:proofErr w:type="spellEnd"/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performing as expected and required progress reports have been received; final invoices are marked final and that a subcontractor release form is received; and post award audit of any expenditures that do not appear allowable, allocable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C5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and/or reasonable. </w:t>
      </w:r>
    </w:p>
    <w:p w:rsidR="00085BA6" w:rsidRPr="007C5AC4" w:rsidRDefault="00085BA6" w:rsidP="00085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BA6" w:rsidRPr="00603746" w:rsidRDefault="00085BA6" w:rsidP="0008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85BA6" w:rsidRPr="00603746" w:rsidRDefault="00085BA6" w:rsidP="00085BA6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C73D4" w:rsidRDefault="006C73D4"/>
    <w:sectPr w:rsidR="006C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A6"/>
    <w:rsid w:val="00085BA6"/>
    <w:rsid w:val="006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2011-07-28T16:56:00Z</dcterms:created>
  <dcterms:modified xsi:type="dcterms:W3CDTF">2011-07-28T16:57:00Z</dcterms:modified>
</cp:coreProperties>
</file>